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294FBF">
        <w:rPr>
          <w:rFonts w:cs="Arial"/>
          <w:b/>
          <w:sz w:val="24"/>
          <w:szCs w:val="24"/>
        </w:rPr>
        <w:t>3</w:t>
      </w:r>
      <w:r>
        <w:rPr>
          <w:rFonts w:eastAsia="宋体" w:cs="Arial"/>
          <w:b/>
          <w:sz w:val="24"/>
          <w:szCs w:val="24"/>
          <w:lang w:eastAsia="zh-CN"/>
        </w:rPr>
        <w:t>-e</w:t>
      </w:r>
      <w:r w:rsidRPr="007D3E81">
        <w:rPr>
          <w:rFonts w:cs="Arial"/>
          <w:b/>
          <w:sz w:val="24"/>
          <w:szCs w:val="24"/>
        </w:rPr>
        <w:tab/>
      </w:r>
      <w:r w:rsidR="009D1F36" w:rsidRPr="009D1F36">
        <w:rPr>
          <w:rFonts w:cs="Arial"/>
          <w:b/>
          <w:sz w:val="24"/>
          <w:szCs w:val="24"/>
        </w:rPr>
        <w:t>R3-213971</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5D18C7">
        <w:rPr>
          <w:rFonts w:ascii="Arial" w:eastAsia="MS Mincho" w:hAnsi="Arial" w:cs="Arial"/>
          <w:b/>
          <w:sz w:val="24"/>
          <w:szCs w:val="24"/>
        </w:rPr>
        <w:t>1</w:t>
      </w:r>
      <w:r w:rsidR="00294FBF">
        <w:rPr>
          <w:rFonts w:ascii="Arial" w:eastAsia="MS Mincho" w:hAnsi="Arial" w:cs="Arial"/>
          <w:b/>
          <w:sz w:val="24"/>
          <w:szCs w:val="24"/>
        </w:rPr>
        <w:t>6</w:t>
      </w:r>
      <w:r w:rsidR="00E36429">
        <w:rPr>
          <w:rFonts w:ascii="Arial" w:eastAsia="MS Mincho" w:hAnsi="Arial" w:cs="Arial"/>
          <w:b/>
          <w:sz w:val="24"/>
          <w:szCs w:val="24"/>
        </w:rPr>
        <w:t xml:space="preserve"> </w:t>
      </w:r>
      <w:r w:rsidR="00B8253A" w:rsidRPr="00946759">
        <w:rPr>
          <w:rFonts w:ascii="Arial" w:eastAsia="MS Mincho" w:hAnsi="Arial" w:cs="Arial"/>
          <w:b/>
          <w:sz w:val="24"/>
          <w:szCs w:val="24"/>
        </w:rPr>
        <w:t xml:space="preserve">– </w:t>
      </w:r>
      <w:r w:rsidR="005D18C7">
        <w:rPr>
          <w:rFonts w:ascii="Arial" w:eastAsia="MS Mincho" w:hAnsi="Arial" w:cs="Arial"/>
          <w:b/>
          <w:sz w:val="24"/>
          <w:szCs w:val="24"/>
        </w:rPr>
        <w:t>2</w:t>
      </w:r>
      <w:r w:rsidR="00294FBF">
        <w:rPr>
          <w:rFonts w:ascii="Arial" w:eastAsia="MS Mincho" w:hAnsi="Arial" w:cs="Arial"/>
          <w:b/>
          <w:sz w:val="24"/>
          <w:szCs w:val="24"/>
        </w:rPr>
        <w:t>6</w:t>
      </w:r>
      <w:r w:rsidR="00B8253A" w:rsidRPr="00946759">
        <w:rPr>
          <w:rFonts w:ascii="Arial" w:eastAsia="MS Mincho" w:hAnsi="Arial" w:cs="Arial"/>
          <w:b/>
          <w:sz w:val="24"/>
          <w:szCs w:val="24"/>
        </w:rPr>
        <w:t xml:space="preserve"> </w:t>
      </w:r>
      <w:r w:rsidR="005D18C7">
        <w:rPr>
          <w:rFonts w:ascii="Arial" w:eastAsia="MS Mincho" w:hAnsi="Arial" w:cs="Arial"/>
          <w:b/>
          <w:sz w:val="24"/>
          <w:szCs w:val="24"/>
        </w:rPr>
        <w:t>May</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F36C8">
        <w:rPr>
          <w:rFonts w:ascii="Arial" w:hAnsi="Arial"/>
          <w:sz w:val="24"/>
          <w:lang w:eastAsia="zh-CN"/>
        </w:rPr>
        <w:t>19</w:t>
      </w:r>
      <w:r>
        <w:rPr>
          <w:rFonts w:ascii="Arial" w:hAnsi="Arial"/>
          <w:sz w:val="24"/>
          <w:lang w:eastAsia="zh-CN"/>
        </w:rPr>
        <w:t>.</w:t>
      </w:r>
      <w:r w:rsidR="001F36C8">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5D18C7">
        <w:rPr>
          <w:rFonts w:ascii="Arial" w:hAnsi="Arial"/>
          <w:sz w:val="24"/>
        </w:rPr>
        <w:t xml:space="preserve">Positioning latency </w:t>
      </w:r>
      <w:r w:rsidR="00F00D49">
        <w:rPr>
          <w:rFonts w:ascii="Arial" w:hAnsi="Arial"/>
          <w:sz w:val="24"/>
        </w:rPr>
        <w:t>improvement</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Heading1"/>
        <w:rPr>
          <w:rFonts w:eastAsia="宋体"/>
          <w:lang w:eastAsia="zh-CN"/>
        </w:rPr>
      </w:pPr>
      <w:r w:rsidRPr="00FD47F0">
        <w:t>Introduction</w:t>
      </w:r>
    </w:p>
    <w:p w:rsidR="005D18C7" w:rsidRDefault="007066FB" w:rsidP="005D18C7">
      <w:pPr>
        <w:tabs>
          <w:tab w:val="left" w:pos="1327"/>
        </w:tabs>
        <w:jc w:val="both"/>
      </w:pPr>
      <w:bookmarkStart w:id="0" w:name="_Hlk46842767"/>
      <w:r>
        <w:t>In last RAN3 meeting, RAN3 had below agreements on positioning latency improvement.</w:t>
      </w:r>
    </w:p>
    <w:tbl>
      <w:tblPr>
        <w:tblStyle w:val="TableGrid"/>
        <w:tblW w:w="0" w:type="auto"/>
        <w:tblLook w:val="04A0" w:firstRow="1" w:lastRow="0" w:firstColumn="1" w:lastColumn="0" w:noHBand="0" w:noVBand="1"/>
      </w:tblPr>
      <w:tblGrid>
        <w:gridCol w:w="8920"/>
      </w:tblGrid>
      <w:tr w:rsidR="005D18C7" w:rsidRPr="00437CA7" w:rsidTr="007B341E">
        <w:tc>
          <w:tcPr>
            <w:tcW w:w="9350" w:type="dxa"/>
          </w:tcPr>
          <w:p w:rsidR="00294FBF" w:rsidRDefault="00294FBF" w:rsidP="00294FBF">
            <w:pPr>
              <w:rPr>
                <w:rFonts w:ascii="Calibri" w:hAnsi="Calibri" w:cs="Calibri"/>
                <w:i/>
                <w:color w:val="FF0000"/>
                <w:sz w:val="16"/>
                <w:szCs w:val="16"/>
              </w:rPr>
            </w:pPr>
            <w:r>
              <w:rPr>
                <w:rFonts w:ascii="Calibri" w:hAnsi="Calibri" w:cs="Calibri"/>
                <w:i/>
                <w:color w:val="FF0000"/>
                <w:sz w:val="16"/>
                <w:szCs w:val="16"/>
              </w:rPr>
              <w:t>RAN3#112e:</w:t>
            </w:r>
          </w:p>
          <w:p w:rsidR="00294FBF" w:rsidRDefault="00294FBF" w:rsidP="00294FBF">
            <w:pPr>
              <w:rPr>
                <w:rFonts w:ascii="Calibri" w:hAnsi="Calibri" w:cs="Calibri"/>
                <w:color w:val="00B050"/>
                <w:sz w:val="16"/>
                <w:szCs w:val="16"/>
              </w:rPr>
            </w:pPr>
            <w:r>
              <w:rPr>
                <w:rFonts w:ascii="Calibri" w:hAnsi="Calibri" w:cs="Calibri"/>
                <w:color w:val="00B050"/>
                <w:sz w:val="16"/>
                <w:szCs w:val="16"/>
              </w:rPr>
              <w:t>RAN3 should not discuss the schedule time unless there is significant progress in SA2</w:t>
            </w:r>
          </w:p>
          <w:p w:rsidR="005D18C7" w:rsidRPr="00294FBF" w:rsidRDefault="00294FBF" w:rsidP="00294FBF">
            <w:pPr>
              <w:rPr>
                <w:rFonts w:ascii="Calibri" w:hAnsi="Calibri" w:cs="Calibri"/>
                <w:color w:val="00B050"/>
                <w:sz w:val="16"/>
                <w:szCs w:val="16"/>
              </w:rPr>
            </w:pPr>
            <w:r>
              <w:rPr>
                <w:rFonts w:ascii="Calibri" w:hAnsi="Calibri" w:cs="Calibri"/>
                <w:color w:val="00B050"/>
                <w:sz w:val="16"/>
                <w:szCs w:val="16"/>
              </w:rPr>
              <w:t>RAN3 wait for progress in other groups before discussing the Configuration Grant based optimization</w:t>
            </w:r>
          </w:p>
        </w:tc>
      </w:tr>
    </w:tbl>
    <w:bookmarkEnd w:id="0"/>
    <w:p w:rsidR="0063646F" w:rsidRPr="00F131D0" w:rsidRDefault="007066FB" w:rsidP="0063646F">
      <w:pPr>
        <w:spacing w:before="180"/>
      </w:pPr>
      <w:r>
        <w:t>After checking the progress of other working groups, the conclusion</w:t>
      </w:r>
      <w:r w:rsidR="00087614">
        <w:t>s</w:t>
      </w:r>
      <w:r>
        <w:t xml:space="preserve"> in other groups are still not clear, </w:t>
      </w:r>
      <w:r w:rsidR="007171F3">
        <w:t xml:space="preserve">so we prefer to wait until the conclusions are clear. In this paper, we would like to discuss positioning </w:t>
      </w:r>
      <w:r w:rsidR="00AD5596">
        <w:t xml:space="preserve">latency </w:t>
      </w:r>
      <w:r w:rsidR="007171F3">
        <w:t>in mobility scenario.</w:t>
      </w:r>
    </w:p>
    <w:p w:rsidR="00A91319" w:rsidRDefault="00A91319" w:rsidP="00A91319">
      <w:pPr>
        <w:pStyle w:val="Heading1"/>
        <w:rPr>
          <w:rFonts w:eastAsia="宋体"/>
          <w:lang w:eastAsia="zh-CN"/>
        </w:rPr>
      </w:pPr>
      <w:r w:rsidRPr="00FD47F0">
        <w:rPr>
          <w:rFonts w:eastAsia="宋体"/>
          <w:lang w:eastAsia="zh-CN"/>
        </w:rPr>
        <w:t>Discussion</w:t>
      </w:r>
    </w:p>
    <w:p w:rsidR="00051B98" w:rsidRDefault="007171F3" w:rsidP="007171F3">
      <w:pPr>
        <w:overflowPunct/>
        <w:autoSpaceDE/>
        <w:autoSpaceDN/>
        <w:adjustRightInd/>
        <w:spacing w:beforeLines="50" w:before="120" w:after="0"/>
        <w:textAlignment w:val="auto"/>
      </w:pPr>
      <w:r>
        <w:t xml:space="preserve">In current specification, if the serving </w:t>
      </w:r>
      <w:proofErr w:type="spellStart"/>
      <w:r>
        <w:t>gNB</w:t>
      </w:r>
      <w:proofErr w:type="spellEnd"/>
      <w:r>
        <w:t xml:space="preserve"> is changed during mobility, the on-going positioning process will be abort, and after handover, the LMF will re-initiate a new positioning process, the positioning latency in this scenario</w:t>
      </w:r>
      <w:r w:rsidR="00A40F75">
        <w:t xml:space="preserve"> will be</w:t>
      </w:r>
      <w:r>
        <w:t xml:space="preserve"> very high</w:t>
      </w:r>
      <w:r w:rsidR="00051B98">
        <w:t>, figure 1 shows an example of positioning during handover.</w:t>
      </w:r>
    </w:p>
    <w:p w:rsidR="00051B98" w:rsidRDefault="00051B98" w:rsidP="00051B98">
      <w:pPr>
        <w:keepNext/>
        <w:overflowPunct/>
        <w:autoSpaceDE/>
        <w:autoSpaceDN/>
        <w:adjustRightInd/>
        <w:spacing w:beforeLines="50" w:before="120" w:after="0"/>
        <w:textAlignment w:val="auto"/>
      </w:pPr>
      <w:r>
        <w:object w:dxaOrig="10921" w:dyaOrig="10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393.5pt" o:ole="">
            <v:imagedata r:id="rId8" o:title=""/>
          </v:shape>
          <o:OLEObject Type="Embed" ProgID="Visio.Drawing.15" ShapeID="_x0000_i1025" DrawAspect="Content" ObjectID="_1689766905" r:id="rId9"/>
        </w:object>
      </w:r>
    </w:p>
    <w:p w:rsidR="00051B98" w:rsidRDefault="00051B98" w:rsidP="00051B98">
      <w:pPr>
        <w:pStyle w:val="Caption"/>
        <w:jc w:val="center"/>
      </w:pPr>
      <w:r>
        <w:t xml:space="preserve">Figure </w:t>
      </w:r>
      <w:r>
        <w:fldChar w:fldCharType="begin"/>
      </w:r>
      <w:r>
        <w:instrText xml:space="preserve"> SEQ Figure \* ARABIC </w:instrText>
      </w:r>
      <w:r>
        <w:fldChar w:fldCharType="separate"/>
      </w:r>
      <w:r>
        <w:rPr>
          <w:noProof/>
        </w:rPr>
        <w:t>1</w:t>
      </w:r>
      <w:r>
        <w:fldChar w:fldCharType="end"/>
      </w:r>
    </w:p>
    <w:p w:rsidR="00A40F75" w:rsidRDefault="00A53FA1" w:rsidP="007171F3">
      <w:pPr>
        <w:overflowPunct/>
        <w:autoSpaceDE/>
        <w:autoSpaceDN/>
        <w:adjustRightInd/>
        <w:spacing w:beforeLines="50" w:before="120" w:after="0"/>
        <w:textAlignment w:val="auto"/>
      </w:pPr>
      <w:r>
        <w:t>The abort may have</w:t>
      </w:r>
      <w:r w:rsidR="00A40F75" w:rsidRPr="00A40F75">
        <w:t xml:space="preserve"> no significant impact on </w:t>
      </w:r>
      <w:r w:rsidR="00A40F75">
        <w:t>legacy</w:t>
      </w:r>
      <w:r w:rsidR="00A40F75" w:rsidRPr="00A40F75">
        <w:t xml:space="preserve"> positioning </w:t>
      </w:r>
      <w:r w:rsidR="00A40F75">
        <w:t xml:space="preserve">use cases. However, </w:t>
      </w:r>
      <w:r w:rsidR="00A40F75">
        <w:rPr>
          <w:rFonts w:eastAsiaTheme="minorEastAsia"/>
          <w:lang w:val="en-US" w:eastAsia="zh-CN"/>
        </w:rPr>
        <w:t xml:space="preserve">the new positioning use cases discussed in </w:t>
      </w:r>
      <w:r w:rsidR="00A40F75">
        <w:rPr>
          <w:rFonts w:eastAsia="MS Mincho"/>
          <w:lang w:eastAsia="ja-JP"/>
        </w:rPr>
        <w:t>TR 38.857</w:t>
      </w:r>
      <w:r w:rsidR="00A40F75">
        <w:rPr>
          <w:rFonts w:eastAsiaTheme="minorEastAsia"/>
          <w:lang w:val="en-US" w:eastAsia="zh-CN"/>
        </w:rPr>
        <w:t xml:space="preserve"> [1]</w:t>
      </w:r>
      <w:r w:rsidR="00A40F75">
        <w:rPr>
          <w:rFonts w:eastAsiaTheme="minorEastAsia" w:hint="eastAsia"/>
          <w:lang w:val="en-US" w:eastAsia="zh-CN"/>
        </w:rPr>
        <w:t>,</w:t>
      </w:r>
      <w:r w:rsidR="00A40F75">
        <w:rPr>
          <w:rFonts w:eastAsiaTheme="minorEastAsia"/>
          <w:lang w:val="en-US" w:eastAsia="zh-CN"/>
        </w:rPr>
        <w:t xml:space="preserve"> such as </w:t>
      </w:r>
      <w:r w:rsidR="00A40F75" w:rsidRPr="00F57BD9">
        <w:t>Automotive</w:t>
      </w:r>
      <w:r w:rsidR="00A40F75">
        <w:rPr>
          <w:rFonts w:eastAsiaTheme="minorEastAsia"/>
          <w:lang w:val="en-US" w:eastAsia="zh-CN"/>
        </w:rPr>
        <w:t xml:space="preserve"> and </w:t>
      </w:r>
      <w:r w:rsidR="00A40F75" w:rsidRPr="00F57BD9">
        <w:t>Rail</w:t>
      </w:r>
      <w:r w:rsidR="00A40F75">
        <w:t xml:space="preserve">, </w:t>
      </w:r>
      <w:r>
        <w:t xml:space="preserve">will be affected by this positioning abort. Because they </w:t>
      </w:r>
      <w:r w:rsidR="00A40F75">
        <w:t xml:space="preserve">are mostly in high speed scenarios, and the positioning latency is very important factors for those use cases, which relates to the </w:t>
      </w:r>
      <w:r w:rsidR="00A40F75" w:rsidRPr="00A40F75">
        <w:t>safety for life and property</w:t>
      </w:r>
      <w:r w:rsidR="00A40F75">
        <w:t>. For those use cases,</w:t>
      </w:r>
      <w:r>
        <w:t xml:space="preserve"> the positioning during mobility is very frequent. So in our views, positioning latency reduction during mobility should be discussed in laten</w:t>
      </w:r>
      <w:r w:rsidR="002C198A">
        <w:t xml:space="preserve">cy reduction improvement. </w:t>
      </w:r>
    </w:p>
    <w:p w:rsidR="00051B98" w:rsidRDefault="00051B98" w:rsidP="007171F3">
      <w:pPr>
        <w:overflowPunct/>
        <w:autoSpaceDE/>
        <w:autoSpaceDN/>
        <w:adjustRightInd/>
        <w:spacing w:beforeLines="50" w:before="120" w:after="0"/>
        <w:textAlignment w:val="auto"/>
      </w:pPr>
      <w:r>
        <w:t xml:space="preserve">According to our analysis, if positioning related information can be exchanged during handover preparation phase, the </w:t>
      </w:r>
      <w:r w:rsidR="00B621B5">
        <w:t xml:space="preserve">signalling can be reduced so that the </w:t>
      </w:r>
      <w:r>
        <w:t>latency will be reduced, as shown in figure 2 below.</w:t>
      </w:r>
    </w:p>
    <w:p w:rsidR="00051B98" w:rsidRDefault="004A45DF" w:rsidP="00051B98">
      <w:pPr>
        <w:keepNext/>
        <w:overflowPunct/>
        <w:autoSpaceDE/>
        <w:autoSpaceDN/>
        <w:adjustRightInd/>
        <w:spacing w:beforeLines="50" w:before="120" w:after="0"/>
        <w:textAlignment w:val="auto"/>
      </w:pPr>
      <w:r>
        <w:object w:dxaOrig="10921" w:dyaOrig="8281">
          <v:shape id="_x0000_i1034" type="#_x0000_t75" style="width:446pt;height:338.5pt" o:ole="">
            <v:imagedata r:id="rId10" o:title=""/>
          </v:shape>
          <o:OLEObject Type="Embed" ProgID="Visio.Drawing.15" ShapeID="_x0000_i1034" DrawAspect="Content" ObjectID="_1689766906" r:id="rId11"/>
        </w:object>
      </w:r>
      <w:bookmarkStart w:id="1" w:name="_GoBack"/>
      <w:bookmarkEnd w:id="1"/>
    </w:p>
    <w:p w:rsidR="00051B98" w:rsidRPr="002C198A" w:rsidRDefault="00051B98" w:rsidP="00051B98">
      <w:pPr>
        <w:pStyle w:val="Caption"/>
        <w:jc w:val="center"/>
      </w:pPr>
      <w:r>
        <w:t xml:space="preserve">Figure </w:t>
      </w:r>
      <w:r>
        <w:fldChar w:fldCharType="begin"/>
      </w:r>
      <w:r>
        <w:instrText xml:space="preserve"> SEQ Figure \* ARABIC </w:instrText>
      </w:r>
      <w:r>
        <w:fldChar w:fldCharType="separate"/>
      </w:r>
      <w:r>
        <w:rPr>
          <w:noProof/>
        </w:rPr>
        <w:t>2</w:t>
      </w:r>
      <w:r>
        <w:fldChar w:fldCharType="end"/>
      </w:r>
    </w:p>
    <w:p w:rsidR="007171F3" w:rsidRDefault="00B621B5" w:rsidP="007171F3">
      <w:pPr>
        <w:overflowPunct/>
        <w:autoSpaceDE/>
        <w:autoSpaceDN/>
        <w:adjustRightInd/>
        <w:spacing w:beforeLines="50" w:before="120" w:after="0"/>
        <w:textAlignment w:val="auto"/>
      </w:pPr>
      <w:r>
        <w:t xml:space="preserve">Based on the above analysis, </w:t>
      </w:r>
      <w:r w:rsidR="002C198A">
        <w:t xml:space="preserve">it </w:t>
      </w:r>
      <w:r w:rsidR="007171F3">
        <w:t xml:space="preserve">would be beneficial to exchange some positioning related </w:t>
      </w:r>
      <w:r>
        <w:t>messages during handover, thus positioning process can be continued without any interruption, so that the whole positioning latency is reduced</w:t>
      </w:r>
      <w:r w:rsidR="007171F3">
        <w:t>.</w:t>
      </w:r>
    </w:p>
    <w:p w:rsidR="008051C2" w:rsidRPr="00AF6503" w:rsidRDefault="008051C2" w:rsidP="0089042B">
      <w:pPr>
        <w:overflowPunct/>
        <w:autoSpaceDE/>
        <w:autoSpaceDN/>
        <w:adjustRightInd/>
        <w:spacing w:beforeLines="50" w:before="120" w:after="0"/>
        <w:textAlignment w:val="auto"/>
        <w:rPr>
          <w:rFonts w:eastAsiaTheme="minorEastAsia"/>
          <w:lang w:val="en-US" w:eastAsia="zh-CN"/>
        </w:rPr>
      </w:pPr>
      <w:r>
        <w:rPr>
          <w:rFonts w:eastAsiaTheme="minorEastAsia"/>
          <w:b/>
          <w:lang w:val="en-US" w:eastAsia="zh-CN"/>
        </w:rPr>
        <w:t>Observation 1</w:t>
      </w:r>
      <w:r w:rsidRPr="002F0E01">
        <w:rPr>
          <w:rFonts w:eastAsiaTheme="minorEastAsia"/>
          <w:b/>
          <w:lang w:val="en-US" w:eastAsia="zh-CN"/>
        </w:rPr>
        <w:t>:</w:t>
      </w:r>
      <w:r>
        <w:rPr>
          <w:rFonts w:eastAsiaTheme="minorEastAsia"/>
          <w:b/>
          <w:lang w:val="en-US" w:eastAsia="zh-CN"/>
        </w:rPr>
        <w:t xml:space="preserve"> </w:t>
      </w:r>
      <w:r w:rsidR="00AD5596">
        <w:rPr>
          <w:rFonts w:eastAsiaTheme="minorEastAsia"/>
          <w:b/>
          <w:lang w:val="en-US" w:eastAsia="zh-CN"/>
        </w:rPr>
        <w:t>Positioning abort during mobility will have significant impact on the positioning latency for the new use cases such as Automotive and Rail</w:t>
      </w:r>
      <w:r>
        <w:rPr>
          <w:rFonts w:eastAsiaTheme="minorEastAsia"/>
          <w:b/>
          <w:lang w:val="en-US" w:eastAsia="zh-CN"/>
        </w:rPr>
        <w:t>.</w:t>
      </w:r>
    </w:p>
    <w:p w:rsidR="00460A03" w:rsidRDefault="0089042B" w:rsidP="002C198A">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sidR="002C198A">
        <w:rPr>
          <w:rFonts w:eastAsiaTheme="minorEastAsia"/>
          <w:b/>
          <w:lang w:val="en-US" w:eastAsia="zh-CN"/>
        </w:rPr>
        <w:t>RAN3</w:t>
      </w:r>
      <w:r w:rsidR="00A915D1">
        <w:rPr>
          <w:rFonts w:eastAsiaTheme="minorEastAsia"/>
          <w:b/>
          <w:lang w:val="en-US" w:eastAsia="zh-CN"/>
        </w:rPr>
        <w:t xml:space="preserve"> to</w:t>
      </w:r>
      <w:r w:rsidR="002C198A">
        <w:rPr>
          <w:rFonts w:eastAsiaTheme="minorEastAsia"/>
          <w:b/>
          <w:lang w:val="en-US" w:eastAsia="zh-CN"/>
        </w:rPr>
        <w:t xml:space="preserve"> discuss positioning latency reduction during mobility.</w:t>
      </w:r>
    </w:p>
    <w:p w:rsidR="00B621B5" w:rsidRPr="00B621B5" w:rsidRDefault="00B621B5" w:rsidP="002C198A">
      <w:pPr>
        <w:overflowPunct/>
        <w:autoSpaceDE/>
        <w:autoSpaceDN/>
        <w:adjustRightInd/>
        <w:spacing w:beforeLines="50" w:before="120" w:after="0"/>
        <w:textAlignment w:val="auto"/>
        <w:rPr>
          <w:rFonts w:eastAsiaTheme="minorEastAsia" w:hint="eastAsia"/>
          <w:b/>
          <w:lang w:val="en-US" w:eastAsia="zh-CN"/>
        </w:rPr>
      </w:pPr>
      <w:r w:rsidRPr="00493085">
        <w:rPr>
          <w:rFonts w:eastAsiaTheme="minorEastAsia"/>
          <w:b/>
          <w:lang w:val="en-US" w:eastAsia="zh-CN"/>
        </w:rPr>
        <w:t xml:space="preserve">Proposal </w:t>
      </w:r>
      <w:r>
        <w:rPr>
          <w:rFonts w:eastAsiaTheme="minorEastAsia"/>
          <w:b/>
          <w:lang w:val="en-US" w:eastAsia="zh-CN"/>
        </w:rPr>
        <w:t>2</w:t>
      </w:r>
      <w:r w:rsidRPr="00493085">
        <w:rPr>
          <w:rFonts w:eastAsiaTheme="minorEastAsia"/>
          <w:b/>
          <w:lang w:val="en-US" w:eastAsia="zh-CN"/>
        </w:rPr>
        <w:t xml:space="preserve">: </w:t>
      </w:r>
      <w:r>
        <w:rPr>
          <w:rFonts w:eastAsiaTheme="minorEastAsia"/>
          <w:b/>
          <w:lang w:val="en-US" w:eastAsia="zh-CN"/>
        </w:rPr>
        <w:t xml:space="preserve">RAN3 </w:t>
      </w:r>
      <w:r w:rsidR="00A915D1">
        <w:rPr>
          <w:rFonts w:eastAsiaTheme="minorEastAsia"/>
          <w:b/>
          <w:lang w:val="en-US" w:eastAsia="zh-CN"/>
        </w:rPr>
        <w:t xml:space="preserve">to </w:t>
      </w:r>
      <w:r>
        <w:rPr>
          <w:rFonts w:eastAsiaTheme="minorEastAsia"/>
          <w:b/>
          <w:lang w:val="en-US" w:eastAsia="zh-CN"/>
        </w:rPr>
        <w:t>support exchange positioning related information to reduce the positioning latency during handover.</w:t>
      </w:r>
    </w:p>
    <w:p w:rsidR="00A91319" w:rsidRPr="00FD47F0" w:rsidRDefault="00A91319" w:rsidP="00A91319">
      <w:pPr>
        <w:pStyle w:val="Heading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6305C">
        <w:rPr>
          <w:rFonts w:eastAsia="Malgun Gothic"/>
          <w:sz w:val="21"/>
          <w:szCs w:val="21"/>
          <w:lang w:eastAsia="ko-KR"/>
        </w:rPr>
        <w:t xml:space="preserve">discussed </w:t>
      </w:r>
      <w:r w:rsidR="002C198A">
        <w:rPr>
          <w:rFonts w:eastAsia="Malgun Gothic"/>
          <w:sz w:val="21"/>
          <w:szCs w:val="21"/>
          <w:lang w:eastAsia="ko-KR"/>
        </w:rPr>
        <w:t>t</w:t>
      </w:r>
      <w:r w:rsidR="00AD5596">
        <w:rPr>
          <w:rFonts w:eastAsia="Malgun Gothic"/>
          <w:sz w:val="21"/>
          <w:szCs w:val="21"/>
          <w:lang w:eastAsia="ko-KR"/>
        </w:rPr>
        <w:t>he importance</w:t>
      </w:r>
      <w:r w:rsidR="002C198A">
        <w:rPr>
          <w:rFonts w:eastAsia="Malgun Gothic"/>
          <w:sz w:val="21"/>
          <w:szCs w:val="21"/>
          <w:lang w:eastAsia="ko-KR"/>
        </w:rPr>
        <w:t xml:space="preserve"> of the positioning latency during mobility and have </w:t>
      </w:r>
      <w:r w:rsidR="00E6305C">
        <w:rPr>
          <w:rFonts w:eastAsia="Malgun Gothic"/>
          <w:sz w:val="21"/>
          <w:szCs w:val="21"/>
          <w:lang w:eastAsia="ko-KR"/>
        </w:rPr>
        <w:t>the</w:t>
      </w:r>
      <w:r>
        <w:rPr>
          <w:rFonts w:eastAsia="Malgun Gothic"/>
          <w:sz w:val="21"/>
          <w:szCs w:val="21"/>
          <w:lang w:eastAsia="ko-KR"/>
        </w:rPr>
        <w:t xml:space="preserve"> following </w:t>
      </w:r>
      <w:r w:rsidR="002C198A">
        <w:rPr>
          <w:rFonts w:eastAsia="Malgun Gothic"/>
          <w:sz w:val="21"/>
          <w:szCs w:val="21"/>
          <w:lang w:eastAsia="ko-KR"/>
        </w:rPr>
        <w:t>o</w:t>
      </w:r>
      <w:r w:rsidR="002C198A" w:rsidRPr="002C198A">
        <w:rPr>
          <w:rFonts w:eastAsia="Malgun Gothic"/>
          <w:sz w:val="21"/>
          <w:szCs w:val="21"/>
          <w:lang w:eastAsia="ko-KR"/>
        </w:rPr>
        <w:t>bservation</w:t>
      </w:r>
      <w:r w:rsidR="00910F57">
        <w:rPr>
          <w:rFonts w:eastAsia="Malgun Gothic"/>
          <w:sz w:val="21"/>
          <w:szCs w:val="21"/>
          <w:lang w:eastAsia="ko-KR"/>
        </w:rPr>
        <w:t xml:space="preserve"> </w:t>
      </w:r>
      <w:r w:rsidR="002C198A">
        <w:rPr>
          <w:rFonts w:eastAsia="Malgun Gothic"/>
          <w:sz w:val="21"/>
          <w:szCs w:val="21"/>
          <w:lang w:eastAsia="ko-KR"/>
        </w:rPr>
        <w:t xml:space="preserve">and </w:t>
      </w:r>
      <w:r w:rsidR="00AD5596">
        <w:rPr>
          <w:rFonts w:eastAsia="Malgun Gothic"/>
          <w:sz w:val="21"/>
          <w:szCs w:val="21"/>
          <w:lang w:eastAsia="ko-KR"/>
        </w:rPr>
        <w:t>proposal</w:t>
      </w:r>
      <w:r>
        <w:rPr>
          <w:rFonts w:eastAsia="Malgun Gothic"/>
          <w:sz w:val="21"/>
          <w:szCs w:val="21"/>
          <w:lang w:eastAsia="ko-KR"/>
        </w:rPr>
        <w:t>:</w:t>
      </w:r>
    </w:p>
    <w:p w:rsidR="00AD5596" w:rsidRPr="00AF6503" w:rsidRDefault="00AD5596" w:rsidP="00AD5596">
      <w:pPr>
        <w:overflowPunct/>
        <w:autoSpaceDE/>
        <w:autoSpaceDN/>
        <w:adjustRightInd/>
        <w:spacing w:beforeLines="50" w:before="120" w:after="0"/>
        <w:textAlignment w:val="auto"/>
        <w:rPr>
          <w:rFonts w:eastAsiaTheme="minorEastAsia"/>
          <w:lang w:val="en-US" w:eastAsia="zh-CN"/>
        </w:rPr>
      </w:pPr>
      <w:r>
        <w:rPr>
          <w:rFonts w:eastAsiaTheme="minorEastAsia"/>
          <w:b/>
          <w:lang w:val="en-US" w:eastAsia="zh-CN"/>
        </w:rPr>
        <w:t>Observation 1</w:t>
      </w:r>
      <w:r w:rsidRPr="002F0E01">
        <w:rPr>
          <w:rFonts w:eastAsiaTheme="minorEastAsia"/>
          <w:b/>
          <w:lang w:val="en-US" w:eastAsia="zh-CN"/>
        </w:rPr>
        <w:t>:</w:t>
      </w:r>
      <w:r>
        <w:rPr>
          <w:rFonts w:eastAsiaTheme="minorEastAsia"/>
          <w:b/>
          <w:lang w:val="en-US" w:eastAsia="zh-CN"/>
        </w:rPr>
        <w:t xml:space="preserve"> Positioning abort during mobility will have significant impact on the positioning latency for the new use cases such as Automotive and Rail.</w:t>
      </w:r>
    </w:p>
    <w:p w:rsidR="00A915D1" w:rsidRDefault="00A915D1" w:rsidP="00A915D1">
      <w:pPr>
        <w:overflowPunct/>
        <w:autoSpaceDE/>
        <w:autoSpaceDN/>
        <w:adjustRightInd/>
        <w:spacing w:beforeLines="50" w:before="120" w:after="0"/>
        <w:textAlignment w:val="auto"/>
        <w:rPr>
          <w:rFonts w:eastAsiaTheme="minorEastAsia"/>
          <w:b/>
          <w:lang w:val="en-US" w:eastAsia="zh-CN"/>
        </w:rPr>
      </w:pPr>
      <w:r w:rsidRPr="00493085">
        <w:rPr>
          <w:rFonts w:eastAsiaTheme="minorEastAsia"/>
          <w:b/>
          <w:lang w:val="en-US" w:eastAsia="zh-CN"/>
        </w:rPr>
        <w:t xml:space="preserve">Proposal </w:t>
      </w:r>
      <w:r>
        <w:rPr>
          <w:rFonts w:eastAsiaTheme="minorEastAsia"/>
          <w:b/>
          <w:lang w:val="en-US" w:eastAsia="zh-CN"/>
        </w:rPr>
        <w:t>1</w:t>
      </w:r>
      <w:r w:rsidRPr="00493085">
        <w:rPr>
          <w:rFonts w:eastAsiaTheme="minorEastAsia"/>
          <w:b/>
          <w:lang w:val="en-US" w:eastAsia="zh-CN"/>
        </w:rPr>
        <w:t xml:space="preserve">: </w:t>
      </w:r>
      <w:r>
        <w:rPr>
          <w:rFonts w:eastAsiaTheme="minorEastAsia"/>
          <w:b/>
          <w:lang w:val="en-US" w:eastAsia="zh-CN"/>
        </w:rPr>
        <w:t>RAN3 to discuss positioning latency reduction during mobility.</w:t>
      </w:r>
    </w:p>
    <w:p w:rsidR="00A915D1" w:rsidRPr="00B621B5" w:rsidRDefault="00A915D1" w:rsidP="00A915D1">
      <w:pPr>
        <w:overflowPunct/>
        <w:autoSpaceDE/>
        <w:autoSpaceDN/>
        <w:adjustRightInd/>
        <w:spacing w:beforeLines="50" w:before="120" w:after="0"/>
        <w:textAlignment w:val="auto"/>
        <w:rPr>
          <w:rFonts w:eastAsiaTheme="minorEastAsia" w:hint="eastAsia"/>
          <w:b/>
          <w:lang w:val="en-US" w:eastAsia="zh-CN"/>
        </w:rPr>
      </w:pPr>
      <w:r w:rsidRPr="00493085">
        <w:rPr>
          <w:rFonts w:eastAsiaTheme="minorEastAsia"/>
          <w:b/>
          <w:lang w:val="en-US" w:eastAsia="zh-CN"/>
        </w:rPr>
        <w:t xml:space="preserve">Proposal </w:t>
      </w:r>
      <w:r>
        <w:rPr>
          <w:rFonts w:eastAsiaTheme="minorEastAsia"/>
          <w:b/>
          <w:lang w:val="en-US" w:eastAsia="zh-CN"/>
        </w:rPr>
        <w:t>2</w:t>
      </w:r>
      <w:r w:rsidRPr="00493085">
        <w:rPr>
          <w:rFonts w:eastAsiaTheme="minorEastAsia"/>
          <w:b/>
          <w:lang w:val="en-US" w:eastAsia="zh-CN"/>
        </w:rPr>
        <w:t xml:space="preserve">: </w:t>
      </w:r>
      <w:r>
        <w:rPr>
          <w:rFonts w:eastAsiaTheme="minorEastAsia"/>
          <w:b/>
          <w:lang w:val="en-US" w:eastAsia="zh-CN"/>
        </w:rPr>
        <w:t>RAN3 to support exchange positioning related information to reduce the positioning latency during handover.</w:t>
      </w:r>
    </w:p>
    <w:p w:rsidR="005D18C7" w:rsidRPr="00F270D2" w:rsidRDefault="005D18C7" w:rsidP="005D18C7">
      <w:pPr>
        <w:pStyle w:val="Heading1"/>
        <w:rPr>
          <w:rFonts w:eastAsia="Times New Roman"/>
        </w:rPr>
      </w:pPr>
      <w:r>
        <w:rPr>
          <w:lang w:val="en-US"/>
        </w:rPr>
        <w:t>Reference</w:t>
      </w:r>
      <w:r w:rsidRPr="001A2DD1">
        <w:rPr>
          <w:rFonts w:eastAsia="Times New Roman"/>
        </w:rPr>
        <w:t xml:space="preserve"> </w:t>
      </w:r>
    </w:p>
    <w:p w:rsidR="00107D72" w:rsidRPr="00AD5596" w:rsidRDefault="005D18C7" w:rsidP="00A91C74">
      <w:pPr>
        <w:numPr>
          <w:ilvl w:val="0"/>
          <w:numId w:val="2"/>
        </w:numPr>
        <w:overflowPunct/>
        <w:autoSpaceDE/>
        <w:autoSpaceDN/>
        <w:adjustRightInd/>
        <w:textAlignment w:val="auto"/>
        <w:rPr>
          <w:rFonts w:eastAsia="MS Mincho"/>
          <w:lang w:eastAsia="ja-JP"/>
        </w:rPr>
      </w:pPr>
      <w:r>
        <w:rPr>
          <w:rFonts w:eastAsia="MS Mincho"/>
          <w:lang w:eastAsia="ja-JP"/>
        </w:rPr>
        <w:t>TR 38.857 Study on NR Positioning Enhancements</w:t>
      </w:r>
    </w:p>
    <w:sectPr w:rsidR="00107D72" w:rsidRPr="00AD5596"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2F8" w:rsidRDefault="003A12F8" w:rsidP="00A91319">
      <w:pPr>
        <w:spacing w:after="0"/>
      </w:pPr>
      <w:r>
        <w:separator/>
      </w:r>
    </w:p>
  </w:endnote>
  <w:endnote w:type="continuationSeparator" w:id="0">
    <w:p w:rsidR="003A12F8" w:rsidRDefault="003A12F8"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2F8" w:rsidRDefault="003A12F8" w:rsidP="00A91319">
      <w:pPr>
        <w:spacing w:after="0"/>
      </w:pPr>
      <w:r>
        <w:separator/>
      </w:r>
    </w:p>
  </w:footnote>
  <w:footnote w:type="continuationSeparator" w:id="0">
    <w:p w:rsidR="003A12F8" w:rsidRDefault="003A12F8"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916AB6"/>
    <w:multiLevelType w:val="hybridMultilevel"/>
    <w:tmpl w:val="4AF277BA"/>
    <w:lvl w:ilvl="0" w:tplc="9D0A055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22"/>
  </w:num>
  <w:num w:numId="4">
    <w:abstractNumId w:val="23"/>
  </w:num>
  <w:num w:numId="5">
    <w:abstractNumId w:val="9"/>
  </w:num>
  <w:num w:numId="6">
    <w:abstractNumId w:val="5"/>
  </w:num>
  <w:num w:numId="7">
    <w:abstractNumId w:val="21"/>
  </w:num>
  <w:num w:numId="8">
    <w:abstractNumId w:val="2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5"/>
  </w:num>
  <w:num w:numId="13">
    <w:abstractNumId w:val="6"/>
  </w:num>
  <w:num w:numId="14">
    <w:abstractNumId w:val="27"/>
  </w:num>
  <w:num w:numId="15">
    <w:abstractNumId w:val="25"/>
  </w:num>
  <w:num w:numId="16">
    <w:abstractNumId w:val="3"/>
  </w:num>
  <w:num w:numId="17">
    <w:abstractNumId w:val="16"/>
  </w:num>
  <w:num w:numId="18">
    <w:abstractNumId w:val="13"/>
  </w:num>
  <w:num w:numId="19">
    <w:abstractNumId w:val="17"/>
  </w:num>
  <w:num w:numId="20">
    <w:abstractNumId w:val="10"/>
  </w:num>
  <w:num w:numId="21">
    <w:abstractNumId w:val="26"/>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4"/>
  </w:num>
  <w:num w:numId="24">
    <w:abstractNumId w:val="4"/>
  </w:num>
  <w:num w:numId="25">
    <w:abstractNumId w:val="7"/>
  </w:num>
  <w:num w:numId="26">
    <w:abstractNumId w:val="19"/>
  </w:num>
  <w:num w:numId="27">
    <w:abstractNumId w:val="18"/>
  </w:num>
  <w:num w:numId="28">
    <w:abstractNumId w:val="1"/>
  </w:num>
  <w:num w:numId="29">
    <w:abstractNumId w:val="2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1B98"/>
    <w:rsid w:val="00055365"/>
    <w:rsid w:val="00073ADE"/>
    <w:rsid w:val="00087614"/>
    <w:rsid w:val="0009166F"/>
    <w:rsid w:val="00093F50"/>
    <w:rsid w:val="000A1850"/>
    <w:rsid w:val="000A230D"/>
    <w:rsid w:val="000A316A"/>
    <w:rsid w:val="000A348A"/>
    <w:rsid w:val="000A4696"/>
    <w:rsid w:val="000A4ACB"/>
    <w:rsid w:val="000A541B"/>
    <w:rsid w:val="000B316B"/>
    <w:rsid w:val="000B47E0"/>
    <w:rsid w:val="000B5CEC"/>
    <w:rsid w:val="000B6190"/>
    <w:rsid w:val="000C20F0"/>
    <w:rsid w:val="000C30F6"/>
    <w:rsid w:val="000C3526"/>
    <w:rsid w:val="000D7C3C"/>
    <w:rsid w:val="000F2BF1"/>
    <w:rsid w:val="000F668A"/>
    <w:rsid w:val="00106846"/>
    <w:rsid w:val="00107D72"/>
    <w:rsid w:val="001112C3"/>
    <w:rsid w:val="00112FBD"/>
    <w:rsid w:val="001222EB"/>
    <w:rsid w:val="001324BC"/>
    <w:rsid w:val="0013251E"/>
    <w:rsid w:val="0014135A"/>
    <w:rsid w:val="001465B1"/>
    <w:rsid w:val="001568D9"/>
    <w:rsid w:val="0016483F"/>
    <w:rsid w:val="0017387A"/>
    <w:rsid w:val="0018050E"/>
    <w:rsid w:val="00180EC4"/>
    <w:rsid w:val="00181EAA"/>
    <w:rsid w:val="001A157F"/>
    <w:rsid w:val="001A3402"/>
    <w:rsid w:val="001A3830"/>
    <w:rsid w:val="001A439C"/>
    <w:rsid w:val="001A7A71"/>
    <w:rsid w:val="001B49CE"/>
    <w:rsid w:val="001B5F37"/>
    <w:rsid w:val="001C3B32"/>
    <w:rsid w:val="001C4AFF"/>
    <w:rsid w:val="001C590C"/>
    <w:rsid w:val="001D0191"/>
    <w:rsid w:val="001F1B73"/>
    <w:rsid w:val="001F352F"/>
    <w:rsid w:val="001F36C8"/>
    <w:rsid w:val="001F43C6"/>
    <w:rsid w:val="001F74F1"/>
    <w:rsid w:val="00211EE8"/>
    <w:rsid w:val="002146D9"/>
    <w:rsid w:val="00221976"/>
    <w:rsid w:val="00231266"/>
    <w:rsid w:val="002326D4"/>
    <w:rsid w:val="002329A9"/>
    <w:rsid w:val="00232A3F"/>
    <w:rsid w:val="0023345E"/>
    <w:rsid w:val="00250D3F"/>
    <w:rsid w:val="002707F5"/>
    <w:rsid w:val="002844E0"/>
    <w:rsid w:val="00285074"/>
    <w:rsid w:val="002870E7"/>
    <w:rsid w:val="00294FBF"/>
    <w:rsid w:val="002B034B"/>
    <w:rsid w:val="002B03EE"/>
    <w:rsid w:val="002B0C85"/>
    <w:rsid w:val="002C198A"/>
    <w:rsid w:val="002C5BC5"/>
    <w:rsid w:val="002C786B"/>
    <w:rsid w:val="002D03E8"/>
    <w:rsid w:val="002E701D"/>
    <w:rsid w:val="002F0E01"/>
    <w:rsid w:val="002F6655"/>
    <w:rsid w:val="0030341E"/>
    <w:rsid w:val="0031085F"/>
    <w:rsid w:val="0031119F"/>
    <w:rsid w:val="00324DBD"/>
    <w:rsid w:val="00331153"/>
    <w:rsid w:val="00340C10"/>
    <w:rsid w:val="00346073"/>
    <w:rsid w:val="003524EF"/>
    <w:rsid w:val="00352F2E"/>
    <w:rsid w:val="003704CB"/>
    <w:rsid w:val="00371595"/>
    <w:rsid w:val="00384CE4"/>
    <w:rsid w:val="0039718C"/>
    <w:rsid w:val="003A0E9A"/>
    <w:rsid w:val="003A12F8"/>
    <w:rsid w:val="003B217D"/>
    <w:rsid w:val="003B3F64"/>
    <w:rsid w:val="003B7854"/>
    <w:rsid w:val="003C164E"/>
    <w:rsid w:val="003D5EFD"/>
    <w:rsid w:val="003D7949"/>
    <w:rsid w:val="003E0A1D"/>
    <w:rsid w:val="003E36BB"/>
    <w:rsid w:val="003E4B03"/>
    <w:rsid w:val="003E7AA3"/>
    <w:rsid w:val="003F2329"/>
    <w:rsid w:val="003F3FAC"/>
    <w:rsid w:val="00402A83"/>
    <w:rsid w:val="00406616"/>
    <w:rsid w:val="004235A3"/>
    <w:rsid w:val="00426386"/>
    <w:rsid w:val="00430962"/>
    <w:rsid w:val="004361E1"/>
    <w:rsid w:val="004445F7"/>
    <w:rsid w:val="00445932"/>
    <w:rsid w:val="004515F6"/>
    <w:rsid w:val="00452F19"/>
    <w:rsid w:val="00452F4D"/>
    <w:rsid w:val="00460A03"/>
    <w:rsid w:val="0046334A"/>
    <w:rsid w:val="00463D40"/>
    <w:rsid w:val="00464FE6"/>
    <w:rsid w:val="004667D5"/>
    <w:rsid w:val="00484090"/>
    <w:rsid w:val="004867DD"/>
    <w:rsid w:val="00493085"/>
    <w:rsid w:val="00493D7E"/>
    <w:rsid w:val="004968CD"/>
    <w:rsid w:val="004A45DF"/>
    <w:rsid w:val="004A53E3"/>
    <w:rsid w:val="004B0956"/>
    <w:rsid w:val="004B25B4"/>
    <w:rsid w:val="004C5504"/>
    <w:rsid w:val="004C5E15"/>
    <w:rsid w:val="004D0E7A"/>
    <w:rsid w:val="004D6B8B"/>
    <w:rsid w:val="004E0FCE"/>
    <w:rsid w:val="004F13A8"/>
    <w:rsid w:val="004F471D"/>
    <w:rsid w:val="004F5713"/>
    <w:rsid w:val="00500289"/>
    <w:rsid w:val="005011A4"/>
    <w:rsid w:val="00511170"/>
    <w:rsid w:val="0053234A"/>
    <w:rsid w:val="00537535"/>
    <w:rsid w:val="0054540A"/>
    <w:rsid w:val="005556E7"/>
    <w:rsid w:val="0056758B"/>
    <w:rsid w:val="00567814"/>
    <w:rsid w:val="00583DA5"/>
    <w:rsid w:val="005852E8"/>
    <w:rsid w:val="00587050"/>
    <w:rsid w:val="005967B8"/>
    <w:rsid w:val="005A7138"/>
    <w:rsid w:val="005B19DF"/>
    <w:rsid w:val="005B7B13"/>
    <w:rsid w:val="005C2A44"/>
    <w:rsid w:val="005C4A08"/>
    <w:rsid w:val="005D0F29"/>
    <w:rsid w:val="005D18C7"/>
    <w:rsid w:val="005D4D85"/>
    <w:rsid w:val="005D61D3"/>
    <w:rsid w:val="005E7793"/>
    <w:rsid w:val="005F01EA"/>
    <w:rsid w:val="005F4E06"/>
    <w:rsid w:val="005F5B4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6156"/>
    <w:rsid w:val="00666FA4"/>
    <w:rsid w:val="0067031F"/>
    <w:rsid w:val="00681D99"/>
    <w:rsid w:val="006848B3"/>
    <w:rsid w:val="00685EE6"/>
    <w:rsid w:val="006937D2"/>
    <w:rsid w:val="00697873"/>
    <w:rsid w:val="006B4E37"/>
    <w:rsid w:val="006C6BD7"/>
    <w:rsid w:val="006D19F7"/>
    <w:rsid w:val="006D3CF4"/>
    <w:rsid w:val="006D40B0"/>
    <w:rsid w:val="006E134E"/>
    <w:rsid w:val="006E3A8A"/>
    <w:rsid w:val="006E79D6"/>
    <w:rsid w:val="00703705"/>
    <w:rsid w:val="00704CEC"/>
    <w:rsid w:val="007066FB"/>
    <w:rsid w:val="007171F3"/>
    <w:rsid w:val="00722AA1"/>
    <w:rsid w:val="007254F6"/>
    <w:rsid w:val="007268BA"/>
    <w:rsid w:val="007305A7"/>
    <w:rsid w:val="007366AB"/>
    <w:rsid w:val="00745E90"/>
    <w:rsid w:val="007465DC"/>
    <w:rsid w:val="00763422"/>
    <w:rsid w:val="007815CE"/>
    <w:rsid w:val="00783E4D"/>
    <w:rsid w:val="00787F75"/>
    <w:rsid w:val="007918B7"/>
    <w:rsid w:val="007A3E28"/>
    <w:rsid w:val="007B70B5"/>
    <w:rsid w:val="007C5830"/>
    <w:rsid w:val="007D0840"/>
    <w:rsid w:val="007D1831"/>
    <w:rsid w:val="007D3265"/>
    <w:rsid w:val="007D7E84"/>
    <w:rsid w:val="007E2E73"/>
    <w:rsid w:val="007E6A26"/>
    <w:rsid w:val="007F597B"/>
    <w:rsid w:val="008051C2"/>
    <w:rsid w:val="00813B38"/>
    <w:rsid w:val="00814A2D"/>
    <w:rsid w:val="0081588A"/>
    <w:rsid w:val="008159F5"/>
    <w:rsid w:val="008167F4"/>
    <w:rsid w:val="00832A7A"/>
    <w:rsid w:val="00847CFE"/>
    <w:rsid w:val="00852F15"/>
    <w:rsid w:val="00856C9D"/>
    <w:rsid w:val="00857B8C"/>
    <w:rsid w:val="00861F0A"/>
    <w:rsid w:val="00862F2C"/>
    <w:rsid w:val="00874B57"/>
    <w:rsid w:val="008762FD"/>
    <w:rsid w:val="00881FE1"/>
    <w:rsid w:val="00883A4B"/>
    <w:rsid w:val="00884A71"/>
    <w:rsid w:val="00885D20"/>
    <w:rsid w:val="0089042B"/>
    <w:rsid w:val="00892ED8"/>
    <w:rsid w:val="008A5049"/>
    <w:rsid w:val="008C1F05"/>
    <w:rsid w:val="008C72F2"/>
    <w:rsid w:val="008D6958"/>
    <w:rsid w:val="008F3A40"/>
    <w:rsid w:val="008F4E47"/>
    <w:rsid w:val="008F6F52"/>
    <w:rsid w:val="008F7F58"/>
    <w:rsid w:val="00905EB8"/>
    <w:rsid w:val="00910F57"/>
    <w:rsid w:val="0091715C"/>
    <w:rsid w:val="00921205"/>
    <w:rsid w:val="00922B59"/>
    <w:rsid w:val="00926AA6"/>
    <w:rsid w:val="009314B1"/>
    <w:rsid w:val="009315F8"/>
    <w:rsid w:val="0093279D"/>
    <w:rsid w:val="0093613B"/>
    <w:rsid w:val="00940F11"/>
    <w:rsid w:val="00946F19"/>
    <w:rsid w:val="00950D27"/>
    <w:rsid w:val="00955C54"/>
    <w:rsid w:val="00956210"/>
    <w:rsid w:val="0096447E"/>
    <w:rsid w:val="0098718C"/>
    <w:rsid w:val="009B10C2"/>
    <w:rsid w:val="009B3443"/>
    <w:rsid w:val="009B70DD"/>
    <w:rsid w:val="009C5B90"/>
    <w:rsid w:val="009C5BF1"/>
    <w:rsid w:val="009C7F8E"/>
    <w:rsid w:val="009D1F36"/>
    <w:rsid w:val="009D2E17"/>
    <w:rsid w:val="009D7847"/>
    <w:rsid w:val="009F00A3"/>
    <w:rsid w:val="009F36EC"/>
    <w:rsid w:val="00A05633"/>
    <w:rsid w:val="00A1410D"/>
    <w:rsid w:val="00A20968"/>
    <w:rsid w:val="00A272E3"/>
    <w:rsid w:val="00A33709"/>
    <w:rsid w:val="00A404EF"/>
    <w:rsid w:val="00A40F75"/>
    <w:rsid w:val="00A41297"/>
    <w:rsid w:val="00A46E62"/>
    <w:rsid w:val="00A53FA1"/>
    <w:rsid w:val="00A640AC"/>
    <w:rsid w:val="00A64829"/>
    <w:rsid w:val="00A720A7"/>
    <w:rsid w:val="00A74853"/>
    <w:rsid w:val="00A7692D"/>
    <w:rsid w:val="00A81726"/>
    <w:rsid w:val="00A8274D"/>
    <w:rsid w:val="00A83886"/>
    <w:rsid w:val="00A87068"/>
    <w:rsid w:val="00A872F3"/>
    <w:rsid w:val="00A91319"/>
    <w:rsid w:val="00A915D1"/>
    <w:rsid w:val="00A91C74"/>
    <w:rsid w:val="00A94F5B"/>
    <w:rsid w:val="00AA34B8"/>
    <w:rsid w:val="00AA4ADC"/>
    <w:rsid w:val="00AB1851"/>
    <w:rsid w:val="00AC00BA"/>
    <w:rsid w:val="00AC239E"/>
    <w:rsid w:val="00AC4572"/>
    <w:rsid w:val="00AC5B37"/>
    <w:rsid w:val="00AD5596"/>
    <w:rsid w:val="00AD64A4"/>
    <w:rsid w:val="00AE1B17"/>
    <w:rsid w:val="00AE1B6B"/>
    <w:rsid w:val="00AE1CA4"/>
    <w:rsid w:val="00AE3D05"/>
    <w:rsid w:val="00AE6C60"/>
    <w:rsid w:val="00AF4343"/>
    <w:rsid w:val="00AF4F38"/>
    <w:rsid w:val="00AF6503"/>
    <w:rsid w:val="00B06439"/>
    <w:rsid w:val="00B076EC"/>
    <w:rsid w:val="00B1661F"/>
    <w:rsid w:val="00B17890"/>
    <w:rsid w:val="00B37B73"/>
    <w:rsid w:val="00B42943"/>
    <w:rsid w:val="00B50774"/>
    <w:rsid w:val="00B50CFF"/>
    <w:rsid w:val="00B517E3"/>
    <w:rsid w:val="00B53563"/>
    <w:rsid w:val="00B621B5"/>
    <w:rsid w:val="00B62A8E"/>
    <w:rsid w:val="00B670F0"/>
    <w:rsid w:val="00B71036"/>
    <w:rsid w:val="00B75965"/>
    <w:rsid w:val="00B81637"/>
    <w:rsid w:val="00B8253A"/>
    <w:rsid w:val="00B83826"/>
    <w:rsid w:val="00B94F81"/>
    <w:rsid w:val="00BB173E"/>
    <w:rsid w:val="00BB6F92"/>
    <w:rsid w:val="00BC11EB"/>
    <w:rsid w:val="00BC4C81"/>
    <w:rsid w:val="00BC558F"/>
    <w:rsid w:val="00BD010A"/>
    <w:rsid w:val="00BD0C37"/>
    <w:rsid w:val="00BD5C17"/>
    <w:rsid w:val="00BD5FFE"/>
    <w:rsid w:val="00BE1F19"/>
    <w:rsid w:val="00BE245D"/>
    <w:rsid w:val="00BE413C"/>
    <w:rsid w:val="00BE534C"/>
    <w:rsid w:val="00BF264D"/>
    <w:rsid w:val="00BF3C2F"/>
    <w:rsid w:val="00C04355"/>
    <w:rsid w:val="00C14F85"/>
    <w:rsid w:val="00C1591C"/>
    <w:rsid w:val="00C318A2"/>
    <w:rsid w:val="00C324FD"/>
    <w:rsid w:val="00C3374B"/>
    <w:rsid w:val="00C35401"/>
    <w:rsid w:val="00C36D79"/>
    <w:rsid w:val="00C37E89"/>
    <w:rsid w:val="00C5017F"/>
    <w:rsid w:val="00C536EA"/>
    <w:rsid w:val="00C6608D"/>
    <w:rsid w:val="00C7754A"/>
    <w:rsid w:val="00C84CDB"/>
    <w:rsid w:val="00C90990"/>
    <w:rsid w:val="00C974EB"/>
    <w:rsid w:val="00CA7331"/>
    <w:rsid w:val="00CA73CE"/>
    <w:rsid w:val="00CB0B98"/>
    <w:rsid w:val="00CB7878"/>
    <w:rsid w:val="00CC0667"/>
    <w:rsid w:val="00CC2849"/>
    <w:rsid w:val="00CC56ED"/>
    <w:rsid w:val="00CC63D9"/>
    <w:rsid w:val="00CD0404"/>
    <w:rsid w:val="00CF460A"/>
    <w:rsid w:val="00CF711D"/>
    <w:rsid w:val="00D036C8"/>
    <w:rsid w:val="00D07C69"/>
    <w:rsid w:val="00D30168"/>
    <w:rsid w:val="00D34829"/>
    <w:rsid w:val="00D37BF0"/>
    <w:rsid w:val="00D41187"/>
    <w:rsid w:val="00D41C1E"/>
    <w:rsid w:val="00D535F7"/>
    <w:rsid w:val="00D5447A"/>
    <w:rsid w:val="00D57004"/>
    <w:rsid w:val="00D642E4"/>
    <w:rsid w:val="00D745F3"/>
    <w:rsid w:val="00D83177"/>
    <w:rsid w:val="00DB30F4"/>
    <w:rsid w:val="00DB51CD"/>
    <w:rsid w:val="00DC7002"/>
    <w:rsid w:val="00DE3636"/>
    <w:rsid w:val="00DE5086"/>
    <w:rsid w:val="00DF752D"/>
    <w:rsid w:val="00E039B6"/>
    <w:rsid w:val="00E03D25"/>
    <w:rsid w:val="00E22320"/>
    <w:rsid w:val="00E23BCB"/>
    <w:rsid w:val="00E23C79"/>
    <w:rsid w:val="00E30DA9"/>
    <w:rsid w:val="00E324F2"/>
    <w:rsid w:val="00E36429"/>
    <w:rsid w:val="00E50478"/>
    <w:rsid w:val="00E50B9A"/>
    <w:rsid w:val="00E55D49"/>
    <w:rsid w:val="00E55FBD"/>
    <w:rsid w:val="00E60F04"/>
    <w:rsid w:val="00E6305C"/>
    <w:rsid w:val="00E65132"/>
    <w:rsid w:val="00E81BC4"/>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00D49"/>
    <w:rsid w:val="00F131C8"/>
    <w:rsid w:val="00F131D0"/>
    <w:rsid w:val="00F16C20"/>
    <w:rsid w:val="00F25E32"/>
    <w:rsid w:val="00F43894"/>
    <w:rsid w:val="00F45AF7"/>
    <w:rsid w:val="00F46EB9"/>
    <w:rsid w:val="00F551C8"/>
    <w:rsid w:val="00F574BE"/>
    <w:rsid w:val="00F6701C"/>
    <w:rsid w:val="00F71C54"/>
    <w:rsid w:val="00F77636"/>
    <w:rsid w:val="00F92500"/>
    <w:rsid w:val="00FB31CB"/>
    <w:rsid w:val="00FC0F80"/>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9408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Heading2">
    <w:name w:val="heading 2"/>
    <w:aliases w:val="Char Char,Head2A,2,H2,h2,UNDERRUBRIK 1-2,DO NOT USE_h2,h21,Heading 2 Char,H2 Char,h2 Char,Header 2,Header2,22,heading2,2nd level,H21,H22,H23,H24,H25,R2,E2,†berschrift 2,õberschrift 2,T2,l2,Head 2,List level 2,Guide 2,list 2,list 2,I2,X.X"/>
    <w:next w:val="Normal"/>
    <w:link w:val="Heading2Char1"/>
    <w:qFormat/>
    <w:rsid w:val="00A91319"/>
    <w:pPr>
      <w:spacing w:before="100" w:beforeAutospacing="1" w:afterLines="100"/>
      <w:outlineLvl w:val="1"/>
    </w:pPr>
    <w:rPr>
      <w:rFonts w:ascii="Arial" w:eastAsia="宋体" w:hAnsi="Arial" w:cs="Times New Roman"/>
      <w:kern w:val="0"/>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91319"/>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91319"/>
    <w:pPr>
      <w:numPr>
        <w:ilvl w:val="3"/>
      </w:numPr>
      <w:outlineLvl w:val="3"/>
    </w:pPr>
    <w:rPr>
      <w:sz w:val="24"/>
    </w:rPr>
  </w:style>
  <w:style w:type="paragraph" w:styleId="Heading6">
    <w:name w:val="heading 6"/>
    <w:basedOn w:val="Normal"/>
    <w:next w:val="Normal"/>
    <w:link w:val="Heading6Char"/>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91319"/>
    <w:rPr>
      <w:sz w:val="18"/>
      <w:szCs w:val="18"/>
    </w:rPr>
  </w:style>
  <w:style w:type="paragraph" w:styleId="Footer">
    <w:name w:val="footer"/>
    <w:basedOn w:val="Normal"/>
    <w:link w:val="FooterChar"/>
    <w:unhideWhenUsed/>
    <w:rsid w:val="00A91319"/>
    <w:pPr>
      <w:tabs>
        <w:tab w:val="center" w:pos="4153"/>
        <w:tab w:val="right" w:pos="8306"/>
      </w:tabs>
      <w:snapToGrid w:val="0"/>
    </w:pPr>
    <w:rPr>
      <w:sz w:val="18"/>
      <w:szCs w:val="18"/>
    </w:rPr>
  </w:style>
  <w:style w:type="character" w:customStyle="1" w:styleId="FooterChar">
    <w:name w:val="Footer Char"/>
    <w:basedOn w:val="DefaultParagraphFont"/>
    <w:link w:val="Footer"/>
    <w:rsid w:val="00A91319"/>
    <w:rPr>
      <w:sz w:val="18"/>
      <w:szCs w:val="18"/>
    </w:rPr>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basedOn w:val="DefaultParagraphFont"/>
    <w:link w:val="Heading1"/>
    <w:rsid w:val="00A91319"/>
    <w:rPr>
      <w:rFonts w:ascii="Arial" w:eastAsia="Arial" w:hAnsi="Arial" w:cs="Times New Roman"/>
      <w:kern w:val="0"/>
      <w:sz w:val="36"/>
      <w:szCs w:val="20"/>
      <w:lang w:val="en-GB" w:eastAsia="en-US"/>
    </w:rPr>
  </w:style>
  <w:style w:type="character" w:customStyle="1" w:styleId="Heading2Char1">
    <w:name w:val="Heading 2 Char1"/>
    <w:aliases w:val="Char Char Char,Head2A Char1,2 Char1,H2 Char2,h2 Char2,UNDERRUBRIK 1-2 Char1,DO NOT USE_h2 Char1,h21 Char1,Heading 2 Char Char1,H2 Char Char1,h2 Char Char1,Header 2 Char1,Header2 Char1,22 Char1,heading2 Char1,2nd level Char1,H21 Char1"/>
    <w:basedOn w:val="DefaultParagraphFont"/>
    <w:link w:val="Heading2"/>
    <w:rsid w:val="00A91319"/>
    <w:rPr>
      <w:rFonts w:ascii="Arial" w:eastAsia="宋体" w:hAnsi="Arial" w:cs="Times New Roman"/>
      <w:kern w:val="0"/>
      <w:sz w:val="32"/>
      <w:szCs w:val="24"/>
      <w:lang w:val="en-GB"/>
    </w:rPr>
  </w:style>
  <w:style w:type="character" w:customStyle="1" w:styleId="Heading3Char">
    <w:name w:val="Heading 3 Char"/>
    <w:aliases w:val="Underrubrik2 Char1,H3 Char1,h3 Char1,Memo Heading 3 Char1,no break Char1,0H Char,hello Char1,h31 Char,3 Char,l3 Char,list 3 Char,Head 3 Char,h32 Char,h33 Char,h34 Char,h35 Char,h36 Char,h37 Char,h38 Char,h311 Char,h321 Char,h331 Char"/>
    <w:basedOn w:val="DefaultParagraphFont"/>
    <w:link w:val="Heading3"/>
    <w:rsid w:val="00A9131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319"/>
    <w:rPr>
      <w:rFonts w:ascii="Arial" w:eastAsia="Arial" w:hAnsi="Arial" w:cs="Times New Roman"/>
      <w:kern w:val="0"/>
      <w:sz w:val="24"/>
      <w:szCs w:val="20"/>
      <w:lang w:val="en-GB" w:eastAsia="en-US"/>
    </w:rPr>
  </w:style>
  <w:style w:type="character" w:customStyle="1" w:styleId="Heading6Char">
    <w:name w:val="Heading 6 Char"/>
    <w:basedOn w:val="DefaultParagraphFont"/>
    <w:link w:val="Heading6"/>
    <w:rsid w:val="00A91319"/>
    <w:rPr>
      <w:rFonts w:ascii="Arial" w:eastAsia="Arial" w:hAnsi="Arial" w:cs="Times New Roman"/>
      <w:kern w:val="0"/>
      <w:sz w:val="20"/>
      <w:szCs w:val="20"/>
      <w:lang w:val="en-GB"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A91319"/>
    <w:pPr>
      <w:spacing w:before="120" w:after="120"/>
    </w:pPr>
    <w:rPr>
      <w: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qFormat/>
    <w:rsid w:val="00A91319"/>
    <w:rPr>
      <w:rFonts w:ascii="Times New Roman" w:eastAsia="Times New Roman" w:hAnsi="Times New Roman" w:cs="Times New Roman"/>
      <w:b/>
      <w:kern w:val="0"/>
      <w:sz w:val="20"/>
      <w:szCs w:val="20"/>
      <w:lang w:val="en-GB" w:eastAsia="en-US"/>
    </w:rPr>
  </w:style>
  <w:style w:type="character" w:customStyle="1" w:styleId="a">
    <w:name w:val="首标题"/>
    <w:rsid w:val="00A91319"/>
    <w:rPr>
      <w:rFonts w:ascii="Arial" w:eastAsia="宋体" w:hAnsi="Arial"/>
      <w:sz w:val="24"/>
      <w:lang w:val="en-US" w:eastAsia="zh-CN"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5B7B13"/>
    <w:pPr>
      <w:ind w:firstLineChars="200" w:firstLine="420"/>
    </w:pPr>
  </w:style>
  <w:style w:type="character" w:styleId="CommentReference">
    <w:name w:val="annotation reference"/>
    <w:basedOn w:val="DefaultParagraphFont"/>
    <w:uiPriority w:val="99"/>
    <w:semiHidden/>
    <w:unhideWhenUsed/>
    <w:rsid w:val="00653DDD"/>
    <w:rPr>
      <w:sz w:val="21"/>
      <w:szCs w:val="21"/>
    </w:rPr>
  </w:style>
  <w:style w:type="paragraph" w:styleId="CommentText">
    <w:name w:val="annotation text"/>
    <w:basedOn w:val="Normal"/>
    <w:link w:val="CommentTextChar"/>
    <w:uiPriority w:val="99"/>
    <w:semiHidden/>
    <w:unhideWhenUsed/>
    <w:rsid w:val="00653DDD"/>
  </w:style>
  <w:style w:type="character" w:customStyle="1" w:styleId="CommentTextChar">
    <w:name w:val="Comment Text Char"/>
    <w:basedOn w:val="DefaultParagraphFont"/>
    <w:link w:val="CommentText"/>
    <w:uiPriority w:val="99"/>
    <w:semiHidden/>
    <w:rsid w:val="00653DDD"/>
    <w:rPr>
      <w:rFonts w:ascii="Times New Roman" w:eastAsia="Times New Roma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653DDD"/>
    <w:rPr>
      <w:b/>
      <w:bCs/>
    </w:rPr>
  </w:style>
  <w:style w:type="character" w:customStyle="1" w:styleId="CommentSubjectChar">
    <w:name w:val="Comment Subject Char"/>
    <w:basedOn w:val="CommentTextChar"/>
    <w:link w:val="CommentSubject"/>
    <w:uiPriority w:val="99"/>
    <w:semiHidden/>
    <w:rsid w:val="00653DDD"/>
    <w:rPr>
      <w:rFonts w:ascii="Times New Roman" w:eastAsia="Times New Roma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653DDD"/>
    <w:pPr>
      <w:spacing w:after="0"/>
    </w:pPr>
    <w:rPr>
      <w:sz w:val="18"/>
      <w:szCs w:val="18"/>
    </w:rPr>
  </w:style>
  <w:style w:type="character" w:customStyle="1" w:styleId="BalloonTextChar">
    <w:name w:val="Balloon Text Char"/>
    <w:basedOn w:val="DefaultParagraphFont"/>
    <w:link w:val="BalloonText"/>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Normal"/>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Normal"/>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TableGrid">
    <w:name w:val="Table Grid"/>
    <w:basedOn w:val="TableNormal"/>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NormalWeb">
    <w:name w:val="Normal (Web)"/>
    <w:basedOn w:val="Normal"/>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Normal"/>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Normal"/>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715C"/>
    <w:rPr>
      <w:rFonts w:ascii="Times New Roman" w:eastAsia="Times New Roman" w:hAnsi="Times New Roman" w:cs="Times New Roman"/>
      <w:kern w:val="0"/>
      <w:sz w:val="20"/>
      <w:szCs w:val="20"/>
      <w:lang w:val="en-GB" w:eastAsia="en-US"/>
    </w:rPr>
  </w:style>
  <w:style w:type="paragraph" w:styleId="Date">
    <w:name w:val="Date"/>
    <w:basedOn w:val="Normal"/>
    <w:next w:val="Normal"/>
    <w:link w:val="DateChar"/>
    <w:uiPriority w:val="99"/>
    <w:semiHidden/>
    <w:unhideWhenUsed/>
    <w:rsid w:val="00DE5086"/>
    <w:pPr>
      <w:ind w:leftChars="2500" w:left="100"/>
    </w:pPr>
  </w:style>
  <w:style w:type="character" w:customStyle="1" w:styleId="DateChar">
    <w:name w:val="Date Char"/>
    <w:basedOn w:val="DefaultParagraphFont"/>
    <w:link w:val="Date"/>
    <w:uiPriority w:val="99"/>
    <w:semiHidden/>
    <w:rsid w:val="00DE5086"/>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Normal"/>
    <w:qFormat/>
    <w:rsid w:val="00A91C74"/>
    <w:pPr>
      <w:numPr>
        <w:numId w:val="27"/>
      </w:numPr>
      <w:tabs>
        <w:tab w:val="left" w:pos="1560"/>
      </w:tabs>
      <w:overflowPunct/>
      <w:autoSpaceDE/>
      <w:autoSpaceDN/>
      <w:adjustRightInd/>
      <w:textAlignment w:val="auto"/>
    </w:pPr>
    <w:rPr>
      <w:rFonts w:eastAsia="等线"/>
      <w:b/>
    </w:rPr>
  </w:style>
  <w:style w:type="paragraph" w:customStyle="1" w:styleId="TH">
    <w:name w:val="TH"/>
    <w:basedOn w:val="Normal"/>
    <w:link w:val="THChar"/>
    <w:qFormat/>
    <w:rsid w:val="00E6305C"/>
    <w:pPr>
      <w:keepNext/>
      <w:keepLines/>
      <w:spacing w:before="60"/>
      <w:jc w:val="center"/>
    </w:pPr>
    <w:rPr>
      <w:rFonts w:ascii="Arial" w:eastAsiaTheme="minorEastAsia" w:hAnsi="Arial"/>
      <w:b/>
      <w:lang w:eastAsia="en-GB"/>
    </w:rPr>
  </w:style>
  <w:style w:type="character" w:customStyle="1" w:styleId="THChar">
    <w:name w:val="TH Char"/>
    <w:link w:val="TH"/>
    <w:qFormat/>
    <w:locked/>
    <w:rsid w:val="00E6305C"/>
    <w:rPr>
      <w:rFonts w:ascii="Arial" w:hAnsi="Arial" w:cs="Times New Roman"/>
      <w:b/>
      <w:kern w:val="0"/>
      <w:sz w:val="20"/>
      <w:szCs w:val="20"/>
      <w:lang w:val="en-GB" w:eastAsia="en-GB"/>
    </w:rPr>
  </w:style>
  <w:style w:type="paragraph" w:customStyle="1" w:styleId="TF">
    <w:name w:val="TF"/>
    <w:aliases w:val="left"/>
    <w:basedOn w:val="TH"/>
    <w:link w:val="TFZchn"/>
    <w:qFormat/>
    <w:rsid w:val="00E6305C"/>
    <w:pPr>
      <w:keepNext w:val="0"/>
      <w:spacing w:before="0" w:after="240"/>
    </w:pPr>
  </w:style>
  <w:style w:type="character" w:customStyle="1" w:styleId="TFZchn">
    <w:name w:val="TF Zchn"/>
    <w:link w:val="TF"/>
    <w:rsid w:val="00E6305C"/>
    <w:rPr>
      <w:rFonts w:ascii="Arial" w:hAnsi="Arial" w:cs="Times New Roman"/>
      <w:b/>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25921">
      <w:bodyDiv w:val="1"/>
      <w:marLeft w:val="0"/>
      <w:marRight w:val="0"/>
      <w:marTop w:val="0"/>
      <w:marBottom w:val="0"/>
      <w:divBdr>
        <w:top w:val="none" w:sz="0" w:space="0" w:color="auto"/>
        <w:left w:val="none" w:sz="0" w:space="0" w:color="auto"/>
        <w:bottom w:val="none" w:sz="0" w:space="0" w:color="auto"/>
        <w:right w:val="none" w:sz="0" w:space="0" w:color="auto"/>
      </w:divBdr>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4959773">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16220370">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
    <b:Tag>TR38857</b:Tag>
    <b:SourceType>ConferenceProceedings</b:SourceType>
    <b:Guid>{2E427250-8694-4927-9389-7E7FED46CA10}</b:Guid>
    <b:Title>TR 38.857, Study on NR Positioning Enhancements</b:Title>
    <b:RefOrder>2</b:RefOrder>
  </b:Source>
</b:Sources>
</file>

<file path=customXml/itemProps1.xml><?xml version="1.0" encoding="utf-8"?>
<ds:datastoreItem xmlns:ds="http://schemas.openxmlformats.org/officeDocument/2006/customXml" ds:itemID="{4D3EA088-2AA9-4420-9920-4EBC0FA84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2021-05-06T12:04:00Z</dcterms:created>
  <dcterms:modified xsi:type="dcterms:W3CDTF">2021-08-06T06:53:00Z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